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F5377" w:rsidRDefault="00EF5377">
      <w:pPr>
        <w:spacing w:line="150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8790"/>
      </w:tblGrid>
      <w:tr w:rsidR="00EF5377">
        <w:trPr>
          <w:trHeight w:val="3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8790" w:type="dxa"/>
            <w:shd w:val="clear" w:color="auto" w:fill="auto"/>
          </w:tcPr>
          <w:p w:rsidR="00EF5377" w:rsidRDefault="00BB07DE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ПАСПОРТ</w:t>
            </w:r>
          </w:p>
        </w:tc>
      </w:tr>
      <w:tr w:rsidR="00EF5377">
        <w:trPr>
          <w:trHeight w:val="3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8790" w:type="dxa"/>
            <w:shd w:val="clear" w:color="auto" w:fill="auto"/>
          </w:tcPr>
          <w:p w:rsidR="00EF5377" w:rsidRDefault="00BB07DE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муниципальной программы</w:t>
            </w:r>
          </w:p>
        </w:tc>
      </w:tr>
      <w:tr w:rsidR="00EF5377">
        <w:trPr>
          <w:trHeight w:val="3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8790" w:type="dxa"/>
            <w:shd w:val="clear" w:color="auto" w:fill="auto"/>
          </w:tcPr>
          <w:p w:rsidR="00EF5377" w:rsidRDefault="00BB07DE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«Развитие социальной сферы в городском округе Верхняя Пышма»</w:t>
            </w:r>
          </w:p>
        </w:tc>
      </w:tr>
    </w:tbl>
    <w:p w:rsidR="00EF5377" w:rsidRDefault="00EF5377">
      <w:pPr>
        <w:spacing w:line="750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885"/>
        <w:gridCol w:w="4650"/>
      </w:tblGrid>
      <w:tr w:rsidR="00EF5377">
        <w:trPr>
          <w:trHeight w:val="133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Ответственный исполнитель муниципальной программы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Администрация городского округа Верхняя Пышма</w:t>
            </w:r>
          </w:p>
        </w:tc>
      </w:tr>
      <w:tr w:rsidR="00EF5377">
        <w:trPr>
          <w:trHeight w:val="102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Сроки реализации муниципальной 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3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>2026 -</w:t>
            </w:r>
          </w:p>
        </w:tc>
        <w:tc>
          <w:tcPr>
            <w:tcW w:w="46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2030 годы</w:t>
            </w:r>
          </w:p>
        </w:tc>
      </w:tr>
      <w:tr w:rsidR="00EF5377">
        <w:trPr>
          <w:trHeight w:val="16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Цели и задачи муниципальной программы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Цель 1. Обеспечение доступности качественного общего и дополнительного образования, соответствующего требованиям инновационного социально-экономического развития городского округа Верхняя Пышма.</w:t>
            </w:r>
          </w:p>
        </w:tc>
      </w:tr>
      <w:tr w:rsidR="00EF5377">
        <w:trPr>
          <w:trHeight w:val="163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1.1. Обеспечение государственных гарантий прав граждан на получение общедоступного и бесплатного общего и дошкольного образования в муниципальных образовательных учреждениях</w:t>
            </w:r>
          </w:p>
        </w:tc>
      </w:tr>
      <w:tr w:rsidR="00EF5377">
        <w:trPr>
          <w:trHeight w:val="100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1.2. Обеспечение образовательных учреждений условиями в соответствии с ФГОС общего и дошкольного образования</w:t>
            </w:r>
          </w:p>
        </w:tc>
      </w:tr>
      <w:tr w:rsidR="00EF5377" w:rsidTr="0026081A">
        <w:trPr>
          <w:trHeight w:val="99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1.3. Обновление системы развития педагогических кадров, повышение престижа учительской профессии.</w:t>
            </w:r>
          </w:p>
        </w:tc>
      </w:tr>
      <w:tr w:rsidR="00EF5377" w:rsidTr="0026081A">
        <w:trPr>
          <w:trHeight w:val="228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1.4. 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на территории городского округа Верхняя Пышма</w:t>
            </w:r>
          </w:p>
        </w:tc>
      </w:tr>
    </w:tbl>
    <w:p w:rsidR="00EF5377" w:rsidRDefault="00EF5377">
      <w:pPr>
        <w:sectPr w:rsidR="00EF5377">
          <w:headerReference w:type="default" r:id="rId7"/>
          <w:footerReference w:type="default" r:id="rId8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EF5377" w:rsidTr="0026081A">
        <w:trPr>
          <w:trHeight w:val="16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1.5. Предоставление образования детям с ограниченными возможностями здоровья, в том числе инклюзивного, в образовательных учреждениях городского округа Верхняя Пышма</w:t>
            </w:r>
          </w:p>
        </w:tc>
      </w:tr>
      <w:tr w:rsidR="00EF5377">
        <w:trPr>
          <w:trHeight w:val="6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1.6. Формирование у детей навыков безопасного поведения на улицах и дорогах</w:t>
            </w:r>
          </w:p>
        </w:tc>
      </w:tr>
      <w:tr w:rsidR="00EF5377">
        <w:trPr>
          <w:trHeight w:val="19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1.7. Обеспечение, дополнительных гарантий по социальной поддержке детей-сирот и детей, оставшихся без попечения родителей, обучающихся в муниципальных общеобразовательных учреждениях, на городском, пригородном транспорте</w:t>
            </w:r>
          </w:p>
        </w:tc>
      </w:tr>
      <w:tr w:rsidR="00EF5377">
        <w:trPr>
          <w:trHeight w:val="16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1.8. Обеспечение доступности качественных образовательных услуг в сфере дополнительного образования в образовательных учреждениях городского округа Верхняя Пышма</w:t>
            </w:r>
          </w:p>
        </w:tc>
      </w:tr>
      <w:tr w:rsidR="00EF5377">
        <w:trPr>
          <w:trHeight w:val="163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1.9. Обеспечение бесплатной перевозки обучающихся в муниципальных образовательных организациях, реализующих основные общеобразовательные программы</w:t>
            </w:r>
          </w:p>
        </w:tc>
      </w:tr>
      <w:tr w:rsidR="00EF5377">
        <w:trPr>
          <w:trHeight w:val="99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1.10. Материально-техническое обеспечение системы образования в городском округе Верхняя Пышма</w:t>
            </w:r>
          </w:p>
        </w:tc>
      </w:tr>
      <w:tr w:rsidR="00EF5377">
        <w:trPr>
          <w:trHeight w:val="196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1.11. Обеспечение соответствия состояния зданий и помещений муниципальных образовательных организаций требованиям пожарной безопасности и санитарного законодательства</w:t>
            </w:r>
          </w:p>
        </w:tc>
      </w:tr>
      <w:tr w:rsidR="00EF5377" w:rsidTr="0026081A">
        <w:trPr>
          <w:trHeight w:val="6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1.12. Реализация программ и форм для талантливых детей</w:t>
            </w:r>
          </w:p>
        </w:tc>
      </w:tr>
      <w:tr w:rsidR="00EF5377" w:rsidTr="0026081A">
        <w:trPr>
          <w:trHeight w:val="196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2. Создание эффективной комплексной системы организации качественного, полноценного горячего питания в муниципальных образовательных организациях городского округа Верхняя Пышма</w:t>
            </w:r>
          </w:p>
        </w:tc>
      </w:tr>
    </w:tbl>
    <w:p w:rsidR="00EF5377" w:rsidRDefault="00EF5377">
      <w:pPr>
        <w:sectPr w:rsidR="00EF5377">
          <w:headerReference w:type="default" r:id="rId9"/>
          <w:footerReference w:type="default" r:id="rId10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EF5377" w:rsidTr="0026081A">
        <w:trPr>
          <w:trHeight w:val="6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2.1. Формирование культуры здорового питания обучающихся</w:t>
            </w:r>
          </w:p>
        </w:tc>
      </w:tr>
      <w:tr w:rsidR="00EF5377">
        <w:trPr>
          <w:trHeight w:val="100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2.2. Модернизация материально-технической базы предприятий системы школьного питания</w:t>
            </w:r>
          </w:p>
        </w:tc>
      </w:tr>
      <w:tr w:rsidR="00EF5377">
        <w:trPr>
          <w:trHeight w:val="99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2.3. Обеспечение льготных категорий обучающихся бесплатными новогодними подарками</w:t>
            </w:r>
          </w:p>
        </w:tc>
      </w:tr>
      <w:tr w:rsidR="00EF5377">
        <w:trPr>
          <w:trHeight w:val="325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3. Развитие системы патриотического воспитания граждан городского округа Верхняя Пышма, формирование у граждан патриотического сознания, верности Отечеству, готовности к выполнению конституционных обязанностей, гармонизация межнациональных и межконфессиональных отношений, профилактика экстремизма и укрепление толерантности</w:t>
            </w:r>
          </w:p>
        </w:tc>
      </w:tr>
      <w:tr w:rsidR="00EF5377">
        <w:trPr>
          <w:trHeight w:val="132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3.1. Пропаганда культурного многообразия, этнокультурных ценностей и толерантных отношений в городском округе Верхняя Пышма</w:t>
            </w:r>
          </w:p>
        </w:tc>
      </w:tr>
      <w:tr w:rsidR="00EF5377">
        <w:trPr>
          <w:trHeight w:val="228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3.2. Модернизация содержания и форм патриотического воспитания как условие вовлечения широких масс граждан городского округа Верхняя Пышма в мероприятия историко-патриотической, героико-патриотической, военно-патриотической направленности</w:t>
            </w:r>
          </w:p>
        </w:tc>
      </w:tr>
      <w:tr w:rsidR="00EF5377">
        <w:trPr>
          <w:trHeight w:val="132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3.3. Развитие инфраструктуры муниципальных учреждений для организации патриотического воспитания граждан городского округа Верхняя Пышма</w:t>
            </w:r>
          </w:p>
        </w:tc>
      </w:tr>
      <w:tr w:rsidR="00EF5377" w:rsidTr="0026081A">
        <w:trPr>
          <w:trHeight w:val="6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4. Создание благоприятных условий для устойчивого развития сферы культуры</w:t>
            </w:r>
          </w:p>
        </w:tc>
      </w:tr>
      <w:tr w:rsidR="00EF5377" w:rsidTr="0026081A">
        <w:trPr>
          <w:trHeight w:val="163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4.1. Повышение доступности и качества услуг библиотечного, социально-культурного, просветительского, развлекательного характера доступных для широких слоев населения</w:t>
            </w:r>
          </w:p>
        </w:tc>
      </w:tr>
    </w:tbl>
    <w:p w:rsidR="00EF5377" w:rsidRDefault="00EF5377">
      <w:pPr>
        <w:sectPr w:rsidR="00EF5377">
          <w:headerReference w:type="default" r:id="rId11"/>
          <w:footerReference w:type="default" r:id="rId12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EF5377" w:rsidTr="0026081A">
        <w:trPr>
          <w:trHeight w:val="100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4.2. Обеспечение доступа граждан к участию в культурной жизни, реализация творческого потенциала</w:t>
            </w:r>
          </w:p>
        </w:tc>
      </w:tr>
      <w:tr w:rsidR="00EF5377">
        <w:trPr>
          <w:trHeight w:val="99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5. Создание условий для сохранения здоровья и развития детей городского округа Верхняя Пышма</w:t>
            </w:r>
          </w:p>
        </w:tc>
      </w:tr>
      <w:tr w:rsidR="00EF5377">
        <w:trPr>
          <w:trHeight w:val="6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5.1. Совершенствование форм организации отдыха и оздоровления детей</w:t>
            </w:r>
          </w:p>
        </w:tc>
      </w:tr>
      <w:tr w:rsidR="00EF5377">
        <w:trPr>
          <w:trHeight w:val="132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5.2. Расширение спектра услуг, предоставляемых муниципальным автономным учреждением "Загородный оздоровительный лагерь "Медная горка"</w:t>
            </w:r>
          </w:p>
        </w:tc>
      </w:tr>
      <w:tr w:rsidR="00EF5377">
        <w:trPr>
          <w:trHeight w:val="99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5.3. Сохранение и развитие инфраструктуры системы отдыха и оздоровления детей</w:t>
            </w:r>
          </w:p>
        </w:tc>
      </w:tr>
      <w:tr w:rsidR="00EF5377">
        <w:trPr>
          <w:trHeight w:val="229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6. Предоставление физкультурно-спортивных услуг отвечающих требованиям и нормативам, путем создания современной, развитой материально-технической базы учреждений физической культуры и спорта на территории городского округа Верхняя Пышма</w:t>
            </w:r>
          </w:p>
        </w:tc>
      </w:tr>
      <w:tr w:rsidR="00EF5377">
        <w:trPr>
          <w:trHeight w:val="19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6.1. Укрепление материально-технической базы учреждений физической культуры и спорта, подведомственных МКУ "Управление физической культуры, спорта и молодежной политики городского округа Верхняя Пышма"</w:t>
            </w:r>
          </w:p>
        </w:tc>
      </w:tr>
      <w:tr w:rsidR="00EF5377">
        <w:trPr>
          <w:trHeight w:val="132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6.2. Организация и проведение мероприятий по развитию физической культуры и спорта на территории городского округа Верхняя Пышма</w:t>
            </w:r>
          </w:p>
        </w:tc>
      </w:tr>
      <w:tr w:rsidR="00EF5377" w:rsidTr="0026081A">
        <w:trPr>
          <w:trHeight w:val="132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6.3. Создание условий для занятий физической культурой и спортом различных категорий населения городского округа Верхняя Пышма</w:t>
            </w:r>
          </w:p>
        </w:tc>
      </w:tr>
      <w:tr w:rsidR="00EF5377" w:rsidTr="0026081A">
        <w:trPr>
          <w:trHeight w:val="6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6.4. Поддержка перспективных спортсменов</w:t>
            </w:r>
          </w:p>
        </w:tc>
      </w:tr>
    </w:tbl>
    <w:p w:rsidR="00EF5377" w:rsidRDefault="00EF5377">
      <w:pPr>
        <w:sectPr w:rsidR="00EF5377">
          <w:headerReference w:type="default" r:id="rId13"/>
          <w:footerReference w:type="default" r:id="rId14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EF5377" w:rsidTr="0026081A">
        <w:trPr>
          <w:trHeight w:val="196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6.5. Привлечение к систематическим занятиям адаптивной физической культурой и избранными видами двигательной деятельности максимально большого количества лиц с ограниченными возможностями здоровья</w:t>
            </w:r>
          </w:p>
        </w:tc>
      </w:tr>
      <w:tr w:rsidR="00EF5377">
        <w:trPr>
          <w:trHeight w:val="163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6.6. Поэтапное внедрение Всероссийского физкультурно-спортивного комплекса "Готов к труду и обороне" (ГТО) на территории городского округа Верхняя Пышма</w:t>
            </w:r>
          </w:p>
        </w:tc>
      </w:tr>
      <w:tr w:rsidR="00EF5377">
        <w:trPr>
          <w:trHeight w:val="294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7. Создание условий для успешной социализации и вовлечения молодежи в социально-экономическое развитие городского округа Верхняя Пышма, обеспечение развития и максимального использования социального, экономического, гражданского, культурного и духовного потенциала молодых граждан городского округа Верхняя Пышма</w:t>
            </w:r>
          </w:p>
        </w:tc>
      </w:tr>
      <w:tr w:rsidR="00EF5377">
        <w:trPr>
          <w:trHeight w:val="19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7.1. Повышение политической, правовой культуры и социальной активности молодежи, поддержка общественно значимых инициатив молодежи, совершенствование и развитие системы добровольчества</w:t>
            </w:r>
          </w:p>
        </w:tc>
      </w:tr>
      <w:tr w:rsidR="00EF5377">
        <w:trPr>
          <w:trHeight w:val="16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7.2. Формирование и популяризация культуры здорового образа жизни, культуры безопасности жизнедеятельности в молодежной среде, формирование осознанного родительства</w:t>
            </w:r>
          </w:p>
        </w:tc>
      </w:tr>
      <w:tr w:rsidR="00EF5377" w:rsidTr="0026081A">
        <w:trPr>
          <w:trHeight w:val="132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7.3.  Создание и распространение эффективных моделей и форм включения молодых граждан в трудовую деятельность, реализация трудового потенциала</w:t>
            </w:r>
          </w:p>
        </w:tc>
      </w:tr>
      <w:tr w:rsidR="00EF5377" w:rsidTr="0026081A">
        <w:trPr>
          <w:trHeight w:val="19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7.4. Обеспечение соответствия состояния зданий и помещений муниципальных учреждений молодежной политики требованиям пожарной безопасности и санитарного законодательства</w:t>
            </w:r>
          </w:p>
        </w:tc>
      </w:tr>
    </w:tbl>
    <w:p w:rsidR="00EF5377" w:rsidRDefault="00EF5377">
      <w:pPr>
        <w:sectPr w:rsidR="00EF5377">
          <w:headerReference w:type="default" r:id="rId15"/>
          <w:footerReference w:type="default" r:id="rId16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EF5377">
        <w:trPr>
          <w:trHeight w:val="133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Перечень подпрограмм муниципальной программы (при их наличии)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1. «Развитие системы образования на территории городского округа Верхняя Пышма»</w:t>
            </w:r>
          </w:p>
        </w:tc>
      </w:tr>
      <w:tr w:rsidR="00EF5377">
        <w:trPr>
          <w:trHeight w:val="132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2. «Совершенствование организации питания учащихся образовательных учреждений на территории городского округа Верхняя Пышма»</w:t>
            </w:r>
          </w:p>
        </w:tc>
      </w:tr>
      <w:tr w:rsidR="00EF5377">
        <w:trPr>
          <w:trHeight w:val="99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3. «Патриотическое воспитание граждан на территории городского округа Верхняя Пышма»</w:t>
            </w:r>
          </w:p>
        </w:tc>
      </w:tr>
      <w:tr w:rsidR="00EF5377">
        <w:trPr>
          <w:trHeight w:val="100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4. «Развитие культуры и искусства на территории городского округа Верхняя Пышма»</w:t>
            </w:r>
          </w:p>
        </w:tc>
      </w:tr>
      <w:tr w:rsidR="00EF5377">
        <w:trPr>
          <w:trHeight w:val="99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5. «Развитие системы отдыха и оздоровления детей на территории городского округа Верхняя Пышма»</w:t>
            </w:r>
          </w:p>
        </w:tc>
      </w:tr>
      <w:tr w:rsidR="00EF5377">
        <w:trPr>
          <w:trHeight w:val="100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6. «Развитие физической культуры и спорта на территории городского округа Верхняя Пышма»</w:t>
            </w:r>
          </w:p>
        </w:tc>
      </w:tr>
      <w:tr w:rsidR="00EF5377">
        <w:trPr>
          <w:trHeight w:val="6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7. «Молодежь городского округа Верхняя Пышма»</w:t>
            </w:r>
          </w:p>
        </w:tc>
      </w:tr>
      <w:tr w:rsidR="00EF5377">
        <w:trPr>
          <w:trHeight w:val="13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7"/>
              <w:rPr>
                <w:rStyle w:val="CharacterStyle7"/>
                <w:rFonts w:eastAsia="Calibri"/>
              </w:rPr>
            </w:pPr>
            <w:r>
              <w:rPr>
                <w:rStyle w:val="CharacterStyle7"/>
                <w:rFonts w:eastAsia="Calibri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8"/>
              <w:rPr>
                <w:rStyle w:val="CharacterStyle8"/>
                <w:rFonts w:eastAsia="Calibri"/>
              </w:rPr>
            </w:pPr>
            <w:r>
              <w:rPr>
                <w:rStyle w:val="CharacterStyle8"/>
                <w:rFonts w:eastAsia="Calibri"/>
              </w:rPr>
              <w:t>1. Количество проведённых общегородских мероприятий в сфере образования для педагогических работников</w:t>
            </w:r>
          </w:p>
        </w:tc>
      </w:tr>
      <w:tr w:rsidR="00EF5377" w:rsidTr="0026081A">
        <w:trPr>
          <w:trHeight w:val="166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2. Количество детей – инвалидов и детей с ограниченными возможностями здоровья школьного возраста, охваченных образовательными услугами инклюзивного образования</w:t>
            </w:r>
          </w:p>
        </w:tc>
      </w:tr>
      <w:tr w:rsidR="00EF5377" w:rsidTr="0026081A">
        <w:trPr>
          <w:trHeight w:val="166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3. Количество детей-инвалидов и детей с ограниченными возможностями здоровья дошкольного возраста, охваченных обучением в дошкольных образовательных организациях</w:t>
            </w:r>
          </w:p>
        </w:tc>
      </w:tr>
    </w:tbl>
    <w:p w:rsidR="00EF5377" w:rsidRDefault="00EF5377">
      <w:pPr>
        <w:sectPr w:rsidR="00EF5377">
          <w:headerReference w:type="default" r:id="rId17"/>
          <w:footerReference w:type="default" r:id="rId18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EF5377" w:rsidTr="0026081A">
        <w:trPr>
          <w:trHeight w:val="232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4. Количество детей-сирот и детей, оставшихся без попечения родителей, обучающихся в муниципальных образовательных учреждениях городского округа Верхняя Пышма, которым обеспечены дополнительные гарантии по социальной поддержке</w:t>
            </w:r>
          </w:p>
        </w:tc>
      </w:tr>
      <w:tr w:rsidR="00EF5377">
        <w:trPr>
          <w:trHeight w:val="168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5. Доля детей в возрасте от 5 до 18 лет, обучающихся по дополнительным образовательным программам, в общей численности детей этой возрастной группы</w:t>
            </w:r>
          </w:p>
        </w:tc>
      </w:tr>
      <w:tr w:rsidR="00EF5377">
        <w:trPr>
          <w:trHeight w:val="6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6. Количество автобусов, приобретённых для обеспечения подвоза обучающихся</w:t>
            </w:r>
          </w:p>
        </w:tc>
      </w:tr>
      <w:tr w:rsidR="00EF5377">
        <w:trPr>
          <w:trHeight w:val="13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7. Охват обучающихся горячим питанием, от общего количества обучающихся общеобразовательных учреждений городского округа Верхняя Пышма</w:t>
            </w:r>
          </w:p>
        </w:tc>
      </w:tr>
      <w:tr w:rsidR="00EF5377">
        <w:trPr>
          <w:trHeight w:val="133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8. Количество школьных столовых, в которых произведена замена кухонного инвентаря, столовой посуды, столовых приборов технологического оборудования</w:t>
            </w:r>
          </w:p>
        </w:tc>
      </w:tr>
      <w:tr w:rsidR="00EF5377">
        <w:trPr>
          <w:trHeight w:val="69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9. Количество школьных столовых, в которых заменена обеденная мебель</w:t>
            </w:r>
          </w:p>
        </w:tc>
      </w:tr>
      <w:tr w:rsidR="00EF5377">
        <w:trPr>
          <w:trHeight w:val="100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10. Количество школьных столовых, в которых произведена замена системы вентиляции</w:t>
            </w:r>
          </w:p>
        </w:tc>
      </w:tr>
      <w:tr w:rsidR="00EF5377">
        <w:trPr>
          <w:trHeight w:val="13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11. Количество действующих на территории городского округа Верхняя Пышма патриотических молодежных объединений</w:t>
            </w:r>
          </w:p>
        </w:tc>
      </w:tr>
      <w:tr w:rsidR="00EF5377">
        <w:trPr>
          <w:trHeight w:val="199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12. Количество организаций и учреждений, осуществляющих патриотическое воспитание молодых граждан на территории городского округа Верхняя Пышма, улучшивших материально-техническую базу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13. Количество клубных формирований</w:t>
            </w:r>
          </w:p>
        </w:tc>
      </w:tr>
      <w:tr w:rsidR="00EF5377">
        <w:trPr>
          <w:trHeight w:val="6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14. Количество посещений муниципальных библиотек</w:t>
            </w:r>
          </w:p>
        </w:tc>
      </w:tr>
    </w:tbl>
    <w:p w:rsidR="00EF5377" w:rsidRDefault="00EF5377">
      <w:pPr>
        <w:sectPr w:rsidR="00EF5377">
          <w:headerReference w:type="default" r:id="rId19"/>
          <w:footerReference w:type="default" r:id="rId20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EF5377">
        <w:trPr>
          <w:trHeight w:val="13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15. Количество музейных предметов, основного музейного фонда учреждения, опубликованных на экспозициях и выставках</w:t>
            </w:r>
          </w:p>
        </w:tc>
      </w:tr>
      <w:tr w:rsidR="00EF5377">
        <w:trPr>
          <w:trHeight w:val="6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16. Количество размещенных материалов туристической направленности</w:t>
            </w:r>
          </w:p>
        </w:tc>
      </w:tr>
      <w:tr w:rsidR="00EF5377">
        <w:trPr>
          <w:trHeight w:val="69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17. Количество зрителей кинотеатра "Киноград"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18. Количество проведенных мероприятий</w:t>
            </w:r>
          </w:p>
        </w:tc>
      </w:tr>
      <w:tr w:rsidR="00EF5377">
        <w:trPr>
          <w:trHeight w:val="102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19. Увеличение количества выставок в МБУК "Верхнепышминский исторический музей"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20. Количество музейных предметов</w:t>
            </w:r>
          </w:p>
        </w:tc>
      </w:tr>
      <w:tr w:rsidR="00EF5377">
        <w:trPr>
          <w:trHeight w:val="166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21. Количество детей и подростков, получивших услуги по организации отдыха и оздоровления в санаторно- курортных учреждениях, загородных детских оздоровительных лагерях</w:t>
            </w:r>
          </w:p>
        </w:tc>
      </w:tr>
      <w:tr w:rsidR="00EF5377">
        <w:trPr>
          <w:trHeight w:val="166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22. Количество детей и подростков, получивших услуги по организации отдыха и оздоровления в муниципальном автономном учреждении «Загородный оздоровительный лагерь "Медная горка"»</w:t>
            </w:r>
          </w:p>
        </w:tc>
      </w:tr>
      <w:tr w:rsidR="00EF5377">
        <w:trPr>
          <w:trHeight w:val="102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23. Количество спортивно - массовых и физкультурно-оздоровительных мероприятий</w:t>
            </w:r>
          </w:p>
        </w:tc>
      </w:tr>
      <w:tr w:rsidR="00EF5377" w:rsidTr="0026081A">
        <w:trPr>
          <w:trHeight w:val="6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24. Количество присвоенных спортивных разрядов и квалификационных категорий</w:t>
            </w:r>
          </w:p>
        </w:tc>
      </w:tr>
      <w:tr w:rsidR="00EF5377" w:rsidTr="0026081A">
        <w:trPr>
          <w:trHeight w:val="168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25. Количество медалей, завоеванных спортсменами городского округа Верхняя Пышма на международных,  всероссийских, региональных, областных соревнованиях по видам спорта</w:t>
            </w:r>
          </w:p>
        </w:tc>
      </w:tr>
    </w:tbl>
    <w:p w:rsidR="00EF5377" w:rsidRDefault="00EF5377">
      <w:pPr>
        <w:sectPr w:rsidR="00EF5377">
          <w:headerReference w:type="default" r:id="rId21"/>
          <w:footerReference w:type="default" r:id="rId22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EF5377" w:rsidTr="0026081A">
        <w:trPr>
          <w:trHeight w:val="265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26. Доля населения городского округа Верхняя Пышма, выполнившего нормативы испытаний (тестов) ВФСК "Готов к труду и обороне", в общей численности населения, принявшего участие в выполнении нормативов испытаний (тестов) ВФСК "Готов к труду и обороне" (ГТО)</w:t>
            </w:r>
          </w:p>
        </w:tc>
      </w:tr>
      <w:tr w:rsidR="00EF5377">
        <w:trPr>
          <w:trHeight w:val="265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27. Доля учащихся и студентов городского округа Верхняя Пышма, выполнившего нормативы испытаний (тестов) ВФСК "Готов к труду и обороне", в общей численности населения, принявшего участие в выполнении нормативов испытаний (тестов) ВФСК "Готов к труду и обороне" (ГТО)</w:t>
            </w:r>
          </w:p>
        </w:tc>
      </w:tr>
      <w:tr w:rsidR="00EF5377">
        <w:trPr>
          <w:trHeight w:val="232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28. Количество молодых граждан в возрасте от 14 до 35 лет, регулярно участвующих в деятельности общественных объединений, различных формах общественного самоуправления, проживающих на территории городского округа Верхняя Пышма</w:t>
            </w:r>
          </w:p>
        </w:tc>
      </w:tr>
      <w:tr w:rsidR="00EF5377">
        <w:trPr>
          <w:trHeight w:val="133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29. Количество действующих на территории городского округа Верхняя Пышма органов молодежного самоуправления</w:t>
            </w:r>
          </w:p>
        </w:tc>
      </w:tr>
      <w:tr w:rsidR="00EF5377">
        <w:trPr>
          <w:trHeight w:val="102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30. Количество мероприятий по работе с молодежью в городском округе Верхняя Пышма</w:t>
            </w:r>
          </w:p>
        </w:tc>
      </w:tr>
      <w:tr w:rsidR="00EF5377">
        <w:trPr>
          <w:trHeight w:val="133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31. Количество граждан, участвующих в добровольческой (волонтерской) деятельности в городском округе Верхняя Пышма</w:t>
            </w:r>
          </w:p>
        </w:tc>
      </w:tr>
      <w:tr w:rsidR="00EF5377" w:rsidTr="0026081A">
        <w:trPr>
          <w:trHeight w:val="13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32. Количество поддержанных молодежных инициатив по результатам проекта "Банк молодежных инициатив" в городском округе Верхняя Пышма</w:t>
            </w:r>
          </w:p>
        </w:tc>
      </w:tr>
      <w:tr w:rsidR="00EF5377" w:rsidTr="0026081A">
        <w:trPr>
          <w:trHeight w:val="67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33. Количество действующих молодежных коворкинг-центров</w:t>
            </w:r>
          </w:p>
        </w:tc>
      </w:tr>
    </w:tbl>
    <w:p w:rsidR="00EF5377" w:rsidRDefault="00EF5377">
      <w:pPr>
        <w:sectPr w:rsidR="00EF5377">
          <w:headerReference w:type="default" r:id="rId23"/>
          <w:footerReference w:type="default" r:id="rId24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EF5377" w:rsidTr="0026081A">
        <w:trPr>
          <w:trHeight w:val="135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34. Доля молодых людей, вовлеченных в добровольческую и общественную деятельность (14-35 лет) (от 24352 чел. и  не менее 8560 чел.)</w:t>
            </w:r>
          </w:p>
        </w:tc>
      </w:tr>
      <w:tr w:rsidR="00EF5377">
        <w:trPr>
          <w:trHeight w:val="100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35. Доля людей, вовлеченных в добровольческую деятельность (7+ лет) (от 83099 и не менее 8560 чел.)</w:t>
            </w:r>
          </w:p>
        </w:tc>
      </w:tr>
      <w:tr w:rsidR="00EF5377">
        <w:trPr>
          <w:trHeight w:val="168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36. Количество несовершеннолетних граждан в возрасте от 14 до 18 лет, трудоустроенных через молодежные биржи труда, проживающих на территории городского округа Верхняя Пышма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Объем финансирования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ВСЕГО: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26081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28 191 473,3</w:t>
            </w:r>
            <w:r w:rsidR="00BB07DE">
              <w:rPr>
                <w:rStyle w:val="CharacterStyle5"/>
                <w:rFonts w:eastAsia="Calibri"/>
              </w:rPr>
              <w:t xml:space="preserve"> тыс. рублей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программы по годам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в том числе:</w:t>
            </w:r>
          </w:p>
        </w:tc>
      </w:tr>
      <w:tr w:rsidR="00EF5377">
        <w:trPr>
          <w:trHeight w:val="163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реализации, тыс. рублей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 w:rsidP="0026081A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2026 год - 5 254 366,8 тыс. рублей, </w:t>
            </w:r>
            <w:r>
              <w:rPr>
                <w:rStyle w:val="CharacterStyle5"/>
                <w:rFonts w:eastAsia="Calibri"/>
              </w:rPr>
              <w:br/>
              <w:t>2027 год - 5 305 902,</w:t>
            </w:r>
            <w:r w:rsidR="0026081A">
              <w:rPr>
                <w:rStyle w:val="CharacterStyle5"/>
                <w:rFonts w:eastAsia="Calibri"/>
              </w:rPr>
              <w:t>2</w:t>
            </w:r>
            <w:r>
              <w:rPr>
                <w:rStyle w:val="CharacterStyle5"/>
                <w:rFonts w:eastAsia="Calibri"/>
              </w:rPr>
              <w:t xml:space="preserve"> тыс. рублей, </w:t>
            </w:r>
            <w:r>
              <w:rPr>
                <w:rStyle w:val="CharacterStyle5"/>
                <w:rFonts w:eastAsia="Calibri"/>
              </w:rPr>
              <w:br/>
              <w:t>2028 год - 5 521 299,</w:t>
            </w:r>
            <w:r w:rsidR="0026081A">
              <w:rPr>
                <w:rStyle w:val="CharacterStyle5"/>
                <w:rFonts w:eastAsia="Calibri"/>
              </w:rPr>
              <w:t>1</w:t>
            </w:r>
            <w:r>
              <w:rPr>
                <w:rStyle w:val="CharacterStyle5"/>
                <w:rFonts w:eastAsia="Calibri"/>
              </w:rPr>
              <w:t xml:space="preserve"> тыс. рублей, </w:t>
            </w:r>
            <w:r>
              <w:rPr>
                <w:rStyle w:val="CharacterStyle5"/>
                <w:rFonts w:eastAsia="Calibri"/>
              </w:rPr>
              <w:br/>
              <w:t xml:space="preserve">2029 год - 5 986 092,8 тыс. рублей, </w:t>
            </w:r>
            <w:r>
              <w:rPr>
                <w:rStyle w:val="CharacterStyle5"/>
                <w:rFonts w:eastAsia="Calibri"/>
              </w:rPr>
              <w:br/>
              <w:t>2030 год - 6 123 812,4 тыс. рублей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из них: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областной бюджет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14 410 780,5 тыс. рублей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EF5377">
        <w:trPr>
          <w:trHeight w:val="166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2026 год - 2 613 451,9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- 2 780 610,1 тыс. рублей, </w:t>
            </w:r>
            <w:r>
              <w:rPr>
                <w:rStyle w:val="CharacterStyle11"/>
                <w:rFonts w:eastAsia="Calibri"/>
              </w:rPr>
              <w:br/>
              <w:t xml:space="preserve">2028 год - 2 957 921,2 тыс. рублей, </w:t>
            </w:r>
            <w:r>
              <w:rPr>
                <w:rStyle w:val="CharacterStyle11"/>
                <w:rFonts w:eastAsia="Calibri"/>
              </w:rPr>
              <w:br/>
              <w:t xml:space="preserve">2029 год - 2 962 737,0 тыс. рублей, </w:t>
            </w:r>
            <w:r>
              <w:rPr>
                <w:rStyle w:val="CharacterStyle11"/>
                <w:rFonts w:eastAsia="Calibri"/>
              </w:rPr>
              <w:br/>
              <w:t>2030 год - 3 096 060,3 тыс. рублей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федеральный бюджет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382,8 тыс. рублей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EF5377" w:rsidTr="0026081A">
        <w:trPr>
          <w:trHeight w:val="1665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2026 год - 382,8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2028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2029 год - 0,0 тыс. рублей, </w:t>
            </w:r>
            <w:r>
              <w:rPr>
                <w:rStyle w:val="CharacterStyle11"/>
                <w:rFonts w:eastAsia="Calibri"/>
              </w:rPr>
              <w:br/>
              <w:t>2030 год - 0,0 тыс. рублей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местный бюджет</w:t>
            </w:r>
          </w:p>
        </w:tc>
      </w:tr>
      <w:tr w:rsidR="00EF5377" w:rsidTr="0026081A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26081A">
            <w:pPr>
              <w:pStyle w:val="ParagraphStyle11"/>
              <w:rPr>
                <w:rStyle w:val="CharacterStyle11"/>
                <w:rFonts w:eastAsia="Calibri"/>
              </w:rPr>
            </w:pPr>
            <w:r w:rsidRPr="0026081A">
              <w:rPr>
                <w:rStyle w:val="CharacterStyle11"/>
                <w:rFonts w:eastAsia="Calibri"/>
              </w:rPr>
              <w:t>13 780 310,0</w:t>
            </w:r>
            <w:r>
              <w:rPr>
                <w:rStyle w:val="CharacterStyle11"/>
                <w:rFonts w:eastAsia="Calibri"/>
              </w:rPr>
              <w:t xml:space="preserve"> </w:t>
            </w:r>
            <w:r w:rsidR="00BB07DE">
              <w:rPr>
                <w:rStyle w:val="CharacterStyle11"/>
                <w:rFonts w:eastAsia="Calibri"/>
              </w:rPr>
              <w:t>тыс. рублей</w:t>
            </w:r>
          </w:p>
        </w:tc>
      </w:tr>
    </w:tbl>
    <w:p w:rsidR="00EF5377" w:rsidRDefault="00EF5377">
      <w:pPr>
        <w:sectPr w:rsidR="00EF5377">
          <w:headerReference w:type="default" r:id="rId25"/>
          <w:footerReference w:type="default" r:id="rId26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EF5377" w:rsidTr="004C2052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  <w:bookmarkStart w:id="0" w:name="_GoBack" w:colFirst="1" w:colLast="2"/>
          </w:p>
        </w:tc>
        <w:tc>
          <w:tcPr>
            <w:tcW w:w="325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bookmarkEnd w:id="0"/>
      <w:tr w:rsidR="00EF5377">
        <w:trPr>
          <w:trHeight w:val="168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BB07DE" w:rsidP="0026081A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2026 год - 2 640 532,1 тыс. рублей, </w:t>
            </w:r>
            <w:r>
              <w:rPr>
                <w:rStyle w:val="CharacterStyle11"/>
                <w:rFonts w:eastAsia="Calibri"/>
              </w:rPr>
              <w:br/>
              <w:t>2027 год - 2 525 29</w:t>
            </w:r>
            <w:r w:rsidR="0026081A">
              <w:rPr>
                <w:rStyle w:val="CharacterStyle11"/>
                <w:rFonts w:eastAsia="Calibri"/>
              </w:rPr>
              <w:t>2</w:t>
            </w:r>
            <w:r>
              <w:rPr>
                <w:rStyle w:val="CharacterStyle11"/>
                <w:rFonts w:eastAsia="Calibri"/>
              </w:rPr>
              <w:t>,</w:t>
            </w:r>
            <w:r w:rsidR="0026081A">
              <w:rPr>
                <w:rStyle w:val="CharacterStyle11"/>
                <w:rFonts w:eastAsia="Calibri"/>
              </w:rPr>
              <w:t>1</w:t>
            </w:r>
            <w:r>
              <w:rPr>
                <w:rStyle w:val="CharacterStyle11"/>
                <w:rFonts w:eastAsia="Calibri"/>
              </w:rPr>
              <w:t xml:space="preserve"> тыс. рублей, </w:t>
            </w:r>
            <w:r>
              <w:rPr>
                <w:rStyle w:val="CharacterStyle11"/>
                <w:rFonts w:eastAsia="Calibri"/>
              </w:rPr>
              <w:br/>
              <w:t>2028 год - 2 563 377,</w:t>
            </w:r>
            <w:r w:rsidR="0026081A">
              <w:rPr>
                <w:rStyle w:val="CharacterStyle11"/>
                <w:rFonts w:eastAsia="Calibri"/>
              </w:rPr>
              <w:t>9</w:t>
            </w:r>
            <w:r>
              <w:rPr>
                <w:rStyle w:val="CharacterStyle11"/>
                <w:rFonts w:eastAsia="Calibri"/>
              </w:rPr>
              <w:t xml:space="preserve"> тыс. рублей, </w:t>
            </w:r>
            <w:r>
              <w:rPr>
                <w:rStyle w:val="CharacterStyle11"/>
                <w:rFonts w:eastAsia="Calibri"/>
              </w:rPr>
              <w:br/>
              <w:t xml:space="preserve">2029 год - 3 023 355,8 тыс. рублей, </w:t>
            </w:r>
            <w:r>
              <w:rPr>
                <w:rStyle w:val="CharacterStyle11"/>
                <w:rFonts w:eastAsia="Calibri"/>
              </w:rPr>
              <w:br/>
              <w:t>2030 год - 3 027 752,1 тыс. рублей</w:t>
            </w: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7"/>
              <w:rPr>
                <w:rStyle w:val="CharacterStyle7"/>
                <w:rFonts w:eastAsia="Calibri"/>
              </w:rPr>
            </w:pPr>
            <w:r>
              <w:rPr>
                <w:rStyle w:val="CharacterStyle7"/>
                <w:rFonts w:eastAsia="Calibri"/>
              </w:rPr>
              <w:t>Адрес размещения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8"/>
              <w:rPr>
                <w:rStyle w:val="CharacterStyle8"/>
                <w:rFonts w:eastAsia="Calibri"/>
              </w:rPr>
            </w:pP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программы в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информационно-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-телекоммуникационной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EF5377">
        <w:trPr>
          <w:trHeight w:val="360"/>
        </w:trPr>
        <w:tc>
          <w:tcPr>
            <w:tcW w:w="285" w:type="dxa"/>
          </w:tcPr>
          <w:p w:rsidR="00EF5377" w:rsidRDefault="00EF5377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BB07DE">
            <w:pPr>
              <w:pStyle w:val="ParagraphStyle14"/>
              <w:rPr>
                <w:rStyle w:val="CharacterStyle14"/>
                <w:rFonts w:eastAsia="Calibri"/>
              </w:rPr>
            </w:pPr>
            <w:r>
              <w:rPr>
                <w:rStyle w:val="CharacterStyle14"/>
                <w:rFonts w:eastAsia="Calibri"/>
              </w:rPr>
              <w:t>сети Интернет</w:t>
            </w:r>
          </w:p>
        </w:tc>
        <w:tc>
          <w:tcPr>
            <w:tcW w:w="5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5377" w:rsidRDefault="00EF5377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</w:tr>
    </w:tbl>
    <w:p w:rsidR="00EF5377" w:rsidRDefault="00EF5377">
      <w:pPr>
        <w:spacing w:line="15" w:lineRule="exact"/>
      </w:pPr>
    </w:p>
    <w:sectPr w:rsidR="00EF5377">
      <w:headerReference w:type="default" r:id="rId27"/>
      <w:footerReference w:type="default" r:id="rId28"/>
      <w:pgSz w:w="12240" w:h="15840"/>
      <w:pgMar w:top="950" w:right="1440" w:bottom="144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4F0" w:rsidRDefault="000D24F0">
      <w:r>
        <w:separator/>
      </w:r>
    </w:p>
  </w:endnote>
  <w:endnote w:type="continuationSeparator" w:id="0">
    <w:p w:rsidR="000D24F0" w:rsidRDefault="000D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4F0" w:rsidRDefault="000D24F0">
      <w:r>
        <w:separator/>
      </w:r>
    </w:p>
  </w:footnote>
  <w:footnote w:type="continuationSeparator" w:id="0">
    <w:p w:rsidR="000D24F0" w:rsidRDefault="000D2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377" w:rsidRDefault="00EF5377">
    <w:pPr>
      <w:rPr>
        <w:rStyle w:val="FakeCharacterSty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377"/>
    <w:rsid w:val="000D24F0"/>
    <w:rsid w:val="0026081A"/>
    <w:rsid w:val="004C2052"/>
    <w:rsid w:val="00617E4C"/>
    <w:rsid w:val="00BB07DE"/>
    <w:rsid w:val="00EF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00ECEA-5595-4E75-9588-9363A08BF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ind w:left="28" w:right="28"/>
      <w:jc w:val="center"/>
    </w:pPr>
  </w:style>
  <w:style w:type="paragraph" w:customStyle="1" w:styleId="ParagraphStyle1">
    <w:name w:val="ParagraphStyle1"/>
    <w:hidden/>
    <w:pPr>
      <w:ind w:left="28" w:right="28"/>
    </w:pPr>
  </w:style>
  <w:style w:type="paragraph" w:customStyle="1" w:styleId="ParagraphStyle2">
    <w:name w:val="ParagraphStyle2"/>
    <w:hidden/>
    <w:pPr>
      <w:ind w:left="28" w:right="28"/>
    </w:pPr>
  </w:style>
  <w:style w:type="paragraph" w:customStyle="1" w:styleId="ParagraphStyle3">
    <w:name w:val="ParagraphStyle3"/>
    <w:hidden/>
    <w:pPr>
      <w:ind w:left="28" w:right="28"/>
    </w:pPr>
  </w:style>
  <w:style w:type="paragraph" w:customStyle="1" w:styleId="ParagraphStyle4">
    <w:name w:val="ParagraphStyle4"/>
    <w:hidden/>
    <w:pPr>
      <w:ind w:left="28" w:right="28"/>
    </w:pPr>
  </w:style>
  <w:style w:type="paragraph" w:customStyle="1" w:styleId="ParagraphStyle5">
    <w:name w:val="ParagraphStyle5"/>
    <w:hidden/>
    <w:pPr>
      <w:ind w:left="28" w:right="28"/>
    </w:pPr>
  </w:style>
  <w:style w:type="paragraph" w:customStyle="1" w:styleId="ParagraphStyle6">
    <w:name w:val="ParagraphStyle6"/>
    <w:hidden/>
    <w:pPr>
      <w:ind w:left="28" w:right="28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 w:right="115"/>
      <w:jc w:val="both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 w:right="115"/>
      <w:jc w:val="both"/>
    </w:pPr>
  </w:style>
  <w:style w:type="paragraph" w:customStyle="1" w:styleId="ParagraphStyle11">
    <w:name w:val="ParagraphStyle11"/>
    <w:hidden/>
    <w:pPr>
      <w:ind w:left="115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paragraph" w:customStyle="1" w:styleId="ParagraphStyle14">
    <w:name w:val="ParagraphStyle14"/>
    <w:hidden/>
    <w:pPr>
      <w:ind w:left="115"/>
    </w:pPr>
  </w:style>
  <w:style w:type="paragraph" w:customStyle="1" w:styleId="ParagraphStyle15">
    <w:name w:val="ParagraphStyle15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0315E-2889-478C-899B-5A229E6F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1934</Words>
  <Characters>11027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Осокина Наталья Александровна</dc:creator>
  <cp:lastModifiedBy>Осокина Наталья Александровна</cp:lastModifiedBy>
  <cp:revision>4</cp:revision>
  <dcterms:created xsi:type="dcterms:W3CDTF">2026-02-25T04:10:00Z</dcterms:created>
  <dcterms:modified xsi:type="dcterms:W3CDTF">2026-02-25T12:14:00Z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